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Итоги осуществления федерального государственного земельного контроля (надзора) за 2024 год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2024 году проведение контрольных (надзорных) мероприятий осуществлялось в условиях ограничений,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</w:t>
      </w:r>
      <w:r>
        <w:rPr>
          <w:rFonts w:ascii="Segoe UI" w:hAnsi="Segoe UI"/>
          <w:sz w:val="24"/>
          <w:szCs w:val="24"/>
          <w14:ligatures w14:val="none"/>
        </w:rPr>
        <w:t xml:space="preserve">зора), муниципального контроля».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связи с введенными ограничениями плановые контрольные (надзорные) мероприятия в рамках федерального государственного земельного контроля (надзора) не проводились.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При этом, в указанный период проведено 109 внеплановых контрольных (надзорных) мероприятий (далее – КНМ) во взаимодействии с контролируемыми лицами и 3045 КНМ - без взаимодействия, в том числе с использованием беспилотных авиационных систем, на территории о</w:t>
      </w:r>
      <w:r>
        <w:rPr>
          <w:rFonts w:ascii="Segoe UI" w:hAnsi="Segoe UI"/>
          <w:sz w:val="24"/>
          <w:szCs w:val="24"/>
          <w14:ligatures w14:val="none"/>
        </w:rPr>
        <w:t xml:space="preserve">бщей площадью 56 тысяч гектар.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Площадь обследованной территории составила 56 тысяч гектар.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По результатам контрольных (надзорных) мероприятий выявлено 1527 нарушений земельного законодательства. К административной ответственности привлечен 101 правонарушитель, общая сумма наложенных штрафов составила 414,18 тысяч рублей.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результате деятельности госземинспекторов ведомства устранено более 340 нарушений, выдано 79 предписаний об устранении выявленных нарушений земельного законодательства.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Наибольшее число составляют нарушения, выразившиеся в самовольном занятии земельных участков (более 50% от общего числа выявленных нарушений).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рамках профилактики правонарушений объявлено 17 предостережений о недопустимости нарушения обязательных требований, проведено 235 профилактических визитов, проведено иных профилактических мероприятий (консультирование, информирование) – 1727.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98</cp:revision>
  <dcterms:created xsi:type="dcterms:W3CDTF">2023-06-13T09:29:00Z</dcterms:created>
  <dcterms:modified xsi:type="dcterms:W3CDTF">2025-02-17T08:15:04Z</dcterms:modified>
</cp:coreProperties>
</file>