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5EE81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>
        <w:drawing>
          <wp:inline xmlns:wp="http://schemas.openxmlformats.org/drawingml/2006/wordprocessingDrawing">
            <wp:extent cx="457200" cy="6381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381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 </w:t>
      </w:r>
    </w:p>
    <w:p>
      <w:pPr>
        <w:pStyle w:val="P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Республика Карелия</w:t>
      </w:r>
    </w:p>
    <w:p>
      <w:pPr>
        <w:pStyle w:val="P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Совет Пряжинского городского поселения</w:t>
      </w:r>
    </w:p>
    <w:p>
      <w:pPr>
        <w:pStyle w:val="P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XXX заседание  V  созыва</w:t>
      </w:r>
    </w:p>
    <w:p>
      <w:pPr>
        <w:rPr>
          <w:b w:val="1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8"/>
        </w:rPr>
        <w:t>РЕШЕНИЕ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>«17 » июня 2025 года           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8"/>
        </w:rPr>
        <w:t>     № 110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>пгт Пряжа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tbl>
      <w:tblPr>
        <w:tblW w:w="0" w:type="auto"/>
        <w:tblCellSpacing w:w="0" w:type="dxa"/>
        <w:tblInd w:w="-108" w:type="dxa"/>
        <w:tblLook w:val="04A0"/>
      </w:tblPr>
      <w:tblGrid/>
      <w:tr>
        <w:trPr>
          <w:trHeight w:hRule="atLeast" w:val="717"/>
          <w:tblCellSpacing w:w="0" w:type="dxa"/>
        </w:trPr>
        <w:tc>
          <w:tcPr>
            <w:tcW w:w="99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О порядке определения размера арендной платы за использование земельных участков, находящихся в муниципальной собственности (расположенных) на территории Пряжинского городского поселения </w:t>
            </w:r>
          </w:p>
        </w:tc>
      </w:tr>
    </w:tbl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shd w:val="clear" w:fill="FFFFFF"/>
        <w:spacing w:lineRule="atLeast" w:line="315"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со статьей 39.7 Земельного кодекса Российской Федерации</w:t>
      </w:r>
      <w:r>
        <w:rPr>
          <w:rFonts w:ascii="Times New Roman" w:hAnsi="Times New Roman"/>
          <w:color w:val="000000"/>
          <w:sz w:val="28"/>
          <w:shd w:val="clear" w:fill="FFFFFF"/>
        </w:rPr>
        <w:t xml:space="preserve">, статьей 14 </w:t>
      </w:r>
      <w:r>
        <w:rPr>
          <w:rFonts w:ascii="Times New Roman" w:hAnsi="Times New Roman"/>
          <w:color w:val="000000"/>
          <w:sz w:val="28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"https://login.consultant.ru/link/?req=doc&amp;base=RLAW904&amp;n=618033&amp;dst=100093"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частью 2 статьи 3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Закона Республики Карелия от 10 июня 2013 года N 1712-ЗРК "О некоторых вопросах регулирования земельных отношений в Республике Карелия", </w:t>
      </w:r>
      <w:r>
        <w:rPr>
          <w:rFonts w:ascii="Times New Roman" w:hAnsi="Times New Roman"/>
          <w:color w:val="000000"/>
          <w:sz w:val="28"/>
        </w:rPr>
        <w:t>постановлением Правительства Республики Карелия от 17 апреля 2014 года № 120-П «Об установлении арендной платы за использование земельных участков, находящихся в собственности Республики Карелия или государственная собственность на которые не разграничена» ( с изменениями на 30 августа 2024 года)</w:t>
      </w:r>
      <w:r>
        <w:rPr>
          <w:rFonts w:ascii="Times New Roman" w:hAnsi="Times New Roman"/>
          <w:color w:val="000000"/>
          <w:sz w:val="28"/>
          <w:shd w:val="clear" w:fill="FFFFFF"/>
        </w:rPr>
        <w:t xml:space="preserve">, </w:t>
      </w:r>
    </w:p>
    <w:p>
      <w:pPr>
        <w:shd w:val="clear" w:fill="FFFFFF"/>
        <w:spacing w:lineRule="atLeast" w:line="315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Совет Пряжинского городского поселения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8"/>
        </w:rPr>
        <w:t>РЕШИЛ: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numPr>
          <w:ilvl w:val="0"/>
          <w:numId w:val="1"/>
        </w:numPr>
        <w:tabs>
          <w:tab w:val="left" w:pos="0" w:leader="none"/>
          <w:tab w:val="left" w:pos="708" w:leader="none"/>
          <w:tab w:val="clear" w:pos="720" w:leader="none"/>
        </w:tabs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>Утвердить Порядок определения размера арендной платы за использование земельных участков, находящихся в муниципальной собственности Пряжинского городского поселения согласно приложению.</w:t>
      </w:r>
    </w:p>
    <w:p>
      <w:pPr>
        <w:pStyle w:val="P4"/>
        <w:spacing w:lineRule="auto" w:line="240" w:after="0" w:beforeAutospacing="0" w:afterAutospacing="0"/>
        <w:ind w:right="1"/>
        <w:jc w:val="both"/>
      </w:pPr>
      <w:r>
        <w:rPr>
          <w:rFonts w:ascii="Times New Roman" w:hAnsi="Times New Roman"/>
          <w:sz w:val="28"/>
        </w:rPr>
        <w:t xml:space="preserve">         2.   Направить данное решение на подписание Главе Пряжинского городского поселения </w:t>
      </w:r>
    </w:p>
    <w:p>
      <w:pPr>
        <w:pStyle w:val="P4"/>
        <w:spacing w:lineRule="auto" w:line="240" w:after="0" w:beforeAutospacing="0" w:afterAutospacing="0"/>
        <w:ind w:right="1"/>
        <w:jc w:val="both"/>
      </w:pPr>
      <w:r>
        <w:rPr>
          <w:rFonts w:ascii="Times New Roman" w:hAnsi="Times New Roman"/>
          <w:sz w:val="28"/>
        </w:rPr>
        <w:t xml:space="preserve">        3. О</w:t>
      </w:r>
      <w:r>
        <w:rPr>
          <w:rFonts w:ascii="Times New Roman" w:hAnsi="Times New Roman"/>
          <w:color w:val="000000"/>
          <w:sz w:val="28"/>
        </w:rPr>
        <w:t>публиковать настоящее Решение в районной газете «Наша Жизнь» - «Мейян Элайгу»,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sz w:val="28"/>
        </w:rPr>
        <w:t xml:space="preserve">азместить данное Решение на официальном сайте Пряжинского  городского поселения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"http://adm-priaza.ru/"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Style w:val="C2"/>
          <w:rFonts w:ascii="Times New Roman" w:hAnsi="Times New Roman"/>
          <w:sz w:val="28"/>
        </w:rPr>
        <w:t>http://adm-priaza.ru/</w:t>
      </w:r>
      <w:r>
        <w:rPr>
          <w:rStyle w:val="C2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в сети «Интернет» и обнародовать в установленном порядке.</w:t>
      </w:r>
    </w:p>
    <w:p>
      <w:pPr>
        <w:pStyle w:val="P4"/>
        <w:spacing w:lineRule="auto" w:line="240" w:after="0" w:beforeAutospacing="0" w:afterAutospacing="0"/>
        <w:ind w:right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 Установить, что настоящее Решение вступает в силу с момента опубликования и распространяется на правоотношения, возникшие с 1 января 2025 года.</w:t>
      </w:r>
    </w:p>
    <w:p>
      <w:pPr>
        <w:spacing w:lineRule="auto" w:line="240" w:after="0" w:beforeAutospacing="0" w:afterAutospacing="0"/>
        <w:ind w:left="360" w:right="1"/>
        <w:jc w:val="both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ind w:left="360" w:right="1"/>
        <w:jc w:val="both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ind w:left="360" w:right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Председатель Совета Пряжинского</w:t>
      </w:r>
    </w:p>
    <w:p>
      <w:pPr>
        <w:spacing w:lineRule="auto" w:line="240" w:after="0" w:beforeAutospacing="0" w:afterAutospacing="0"/>
        <w:ind w:left="360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городского поселения                                                              Е.В.Ховричев</w:t>
      </w:r>
    </w:p>
    <w:p>
      <w:pPr>
        <w:spacing w:lineRule="auto" w:line="240" w:after="0" w:beforeAutospacing="0" w:afterAutospacing="0"/>
        <w:ind w:left="360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>
      <w:pPr>
        <w:spacing w:lineRule="auto" w:line="240" w:after="0" w:beforeAutospacing="0" w:afterAutospacing="0"/>
        <w:ind w:left="360" w:right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Пряжинского </w:t>
      </w:r>
    </w:p>
    <w:p>
      <w:pPr>
        <w:spacing w:lineRule="auto" w:line="240" w:after="0" w:beforeAutospacing="0" w:afterAutospacing="0"/>
        <w:ind w:left="360" w:right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городского поселения                                                           О.И.Шабловская  </w:t>
      </w:r>
    </w:p>
    <w:p>
      <w:pPr>
        <w:spacing w:lineRule="auto" w:line="240" w:after="0" w:beforeAutospacing="0" w:afterAutospacing="0"/>
        <w:ind w:left="360" w:right="1"/>
        <w:jc w:val="both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ind w:left="360" w:right="1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____________________________________________________________ </w:t>
      </w:r>
      <w:r>
        <w:rPr>
          <w:rFonts w:ascii="Times New Roman" w:hAnsi="Times New Roman"/>
          <w:color w:val="000000"/>
        </w:rPr>
        <w:t>Разослать: дело-3, газета «Наша жизнь»-1</w:t>
      </w:r>
      <w:r>
        <w:rPr>
          <w:sz w:val="28"/>
        </w:rPr>
        <w:t>,</w:t>
      </w:r>
      <w:r>
        <w:rPr>
          <w:rFonts w:ascii="Times New Roman" w:hAnsi="Times New Roman"/>
        </w:rPr>
        <w:t>бухгалтерия Администрации Пряжнского городского поселения -1, обнародование-6.</w:t>
      </w:r>
      <w:r>
        <w:rPr>
          <w:sz w:val="28"/>
        </w:rPr>
        <w:t xml:space="preserve">                    </w:t>
      </w: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spacing w:after="0" w:beforeAutospacing="0" w:afterAutospacing="0"/>
        <w:ind w:left="36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Решению</w:t>
      </w:r>
    </w:p>
    <w:p>
      <w:pPr>
        <w:spacing w:after="0" w:beforeAutospacing="0" w:afterAutospacing="0"/>
        <w:ind w:left="36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XXX заседания </w:t>
      </w:r>
    </w:p>
    <w:p>
      <w:pPr>
        <w:spacing w:after="0" w:beforeAutospacing="0" w:afterAutospacing="0"/>
        <w:ind w:left="36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Пряжинского городского поселения</w:t>
      </w:r>
    </w:p>
    <w:p>
      <w:pPr>
        <w:spacing w:after="0" w:beforeAutospacing="0" w:afterAutospacing="0"/>
        <w:ind w:left="36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V созыва  от 17.06. 2025 года № 110</w:t>
      </w:r>
    </w:p>
    <w:p>
      <w:pPr>
        <w:spacing w:after="0" w:beforeAutospacing="0" w:afterAutospacing="0"/>
        <w:ind w:left="360"/>
        <w:rPr>
          <w:sz w:val="28"/>
        </w:rPr>
      </w:pPr>
    </w:p>
    <w:p>
      <w:pPr>
        <w:spacing w:after="0" w:beforeAutospacing="0" w:afterAutospacing="0"/>
        <w:ind w:left="360"/>
        <w:rPr>
          <w:sz w:val="28"/>
        </w:rPr>
      </w:pPr>
    </w:p>
    <w:p>
      <w:pPr>
        <w:spacing w:after="0" w:beforeAutospacing="0" w:afterAutospacing="0"/>
        <w:ind w:left="360"/>
        <w:jc w:val="center"/>
        <w:rPr>
          <w:b w:val="1"/>
          <w:sz w:val="28"/>
        </w:rPr>
      </w:pPr>
      <w:r>
        <w:rPr>
          <w:b w:val="1"/>
          <w:sz w:val="28"/>
        </w:rPr>
        <w:t xml:space="preserve">ПОРЯДОК </w:t>
      </w:r>
    </w:p>
    <w:p>
      <w:pPr>
        <w:spacing w:after="0" w:beforeAutospacing="0" w:afterAutospacing="0"/>
        <w:ind w:left="360"/>
        <w:jc w:val="center"/>
        <w:rPr>
          <w:b w:val="1"/>
          <w:sz w:val="28"/>
        </w:rPr>
      </w:pPr>
      <w:r>
        <w:rPr>
          <w:b w:val="1"/>
          <w:sz w:val="28"/>
        </w:rPr>
        <w:t>определения размера арендной платы</w:t>
      </w:r>
    </w:p>
    <w:p>
      <w:pPr>
        <w:spacing w:after="0" w:beforeAutospacing="0" w:afterAutospacing="0"/>
        <w:ind w:left="360"/>
        <w:rPr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 использование земельных участков, находящихся в муниципальной собственности Пряжинского городского поселения</w:t>
      </w:r>
    </w:p>
    <w:p>
      <w:pPr>
        <w:spacing w:after="0" w:beforeAutospacing="0" w:afterAutospacing="0"/>
        <w:ind w:left="360"/>
        <w:rPr>
          <w:sz w:val="28"/>
        </w:rPr>
      </w:pPr>
    </w:p>
    <w:p>
      <w:pPr>
        <w:tabs>
          <w:tab w:val="left" w:pos="0" w:leader="none"/>
        </w:tabs>
        <w:spacing w:lineRule="auto" w:line="240" w:after="0" w:beforeAutospacing="0" w:afterAutospacing="0"/>
        <w:ind w:left="360"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         1. Настоящий Порядок определяет способы расчета размера арендной платы, а также условия и сроки внесения арендной платы за земельные участки, находящиеся в муниципальной собственности Пряжинского городского поселения.</w:t>
      </w:r>
    </w:p>
    <w:p>
      <w:pPr>
        <w:tabs>
          <w:tab w:val="left" w:pos="0" w:leader="none"/>
        </w:tabs>
        <w:spacing w:lineRule="auto" w:line="240" w:after="0" w:beforeAutospacing="0" w:afterAutospacing="0"/>
        <w:ind w:left="360"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         2. Размер арендной платы при аренде земельных участков, находящихся в муниципальной собственности Пряжинского городского поселения (далее-земельные участки), в расчете на год (далее- арендная плата) определяется одним из следующих способов:</w:t>
      </w:r>
    </w:p>
    <w:p>
      <w:pPr>
        <w:tabs>
          <w:tab w:val="left" w:pos="0" w:leader="none"/>
        </w:tabs>
        <w:spacing w:lineRule="auto" w:line="240" w:after="0" w:beforeAutospacing="0" w:afterAutospacing="0"/>
        <w:ind w:left="1065" w:right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по результатам торгов (конкурсов, аукционов);</w:t>
      </w:r>
    </w:p>
    <w:p>
      <w:pPr>
        <w:tabs>
          <w:tab w:val="left" w:pos="0" w:leader="none"/>
        </w:tabs>
        <w:spacing w:lineRule="auto" w:line="240" w:after="0" w:beforeAutospacing="0" w:afterAutospacing="0"/>
        <w:ind w:left="1065" w:right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на основании кадастровой стоимости земельных участков.</w:t>
      </w:r>
    </w:p>
    <w:p>
      <w:pPr>
        <w:tabs>
          <w:tab w:val="left" w:pos="0" w:leader="none"/>
        </w:tabs>
        <w:spacing w:lineRule="auto" w:line="240" w:after="0" w:beforeAutospacing="0" w:afterAutospacing="0"/>
        <w:ind w:left="1065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В случае, если право на заключение договора аренды земельного участка приобретается в порядке, установленном земельным законодательством Российской Федерации на торгах (конкурсах, аукционах), то арендная плата определяется по результатам таких торгов (конкурсов, аукционов).</w:t>
      </w:r>
    </w:p>
    <w:p>
      <w:pPr>
        <w:tabs>
          <w:tab w:val="left" w:pos="0" w:leader="none"/>
        </w:tabs>
        <w:spacing w:lineRule="auto" w:line="240" w:after="0" w:beforeAutospacing="0" w:afterAutospacing="0"/>
        <w:ind w:left="1065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Размер арендной платы за земельные участки, предоставленные в аренду без торгов, определяется как выраженный в рублях процент кадастровой стоимости земельного участка в отношении следующих земельный участков: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color w:val="000000"/>
          <w:sz w:val="28"/>
        </w:rPr>
        <w:t>а)</w:t>
        <w:tab/>
      </w:r>
      <w:r>
        <w:rPr>
          <w:rFonts w:ascii="Times New Roman" w:hAnsi="Times New Roman"/>
          <w:b w:val="1"/>
          <w:color w:val="000000"/>
          <w:sz w:val="28"/>
        </w:rPr>
        <w:t xml:space="preserve"> 0,01 процента в отношении: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ab/>
        <w:t>- земельных участков, изъятых из оборота, если земельный участок в случаях, установленных федеральными законами, может быть передан в аренду, за исключением случаев, когда право на заключение договора аренды земельного участка приобретено на торгах (конкурсах, аукционах);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ab/>
        <w:t>- земельных участков, загрязненных опасными отходами, радиоактивными веществами, подвергшихся загрязнению, заражению или деградации, за исключением случаев консервации земель с изъятием их из оборота;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ab/>
        <w:t>- земельных участков, предоставленных для размещения производственных и административных зданий, сооружений и обслуживающих их объектов на период проведения проектно-изыскательских работ, но не более двух лет;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ab/>
        <w:t xml:space="preserve">- земельных участков, используемых для осуществления инвестиционной деятельности в соответствии с Законом Республики Карелия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"http://docs.cntd.ru/document/919508146" \o "http://docs.cntd.ru/document/919508146"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от 5 марта 2013 года №1687-ЗРК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«О государственной поддержке инвестиционной деятельности в Республике Карелия»: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ab/>
        <w:t>для реализации инвестиционных проектов на срок их окупаемости, но не свыше пяти лет;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ab/>
        <w:t>для реализации приоритетных инвестиционных проектов на срок их окупаемости, но не свыше семи лет;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ab/>
        <w:t>для размещения или планирования к размещению объектов инфраструктуры индустриального парка;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- </w:t>
      </w:r>
      <w:r>
        <w:rPr>
          <w:rFonts w:ascii="Times New Roman" w:hAnsi="Times New Roman"/>
          <w:sz w:val="28"/>
        </w:rPr>
        <w:t xml:space="preserve">земельных участков, предоставленных для размещения объектов, финансирование инфраструктурного обеспечения которых предусмотрено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"https://login.consultant.ru/link/?req=doc&amp;base=LAW&amp;n=509990&amp;dst=101458"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пунктами 20.1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"https://login.consultant.ru/link/?req=doc&amp;base=LAW&amp;n=509990&amp;dst=101527"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21.1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"https://login.consultant.ru/link/?req=doc&amp;base=LAW&amp;n=509990&amp;dst=101596"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22.1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"https://login.consultant.ru/link/?req=doc&amp;base=LAW&amp;n=509990&amp;dst=101665"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23.1 приложения N 4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 федеральной целевой программе "Развитие Республики Карелия на период до 2020 года", либо объектов, инженерно-техническое обеспечение которых включено в мероприятия по строительству и (или) реконструкции и вводу в эксплуатацию объектов инфраструктуры, предусмотренные соглашением, заключаемым Правительством Республики Карелия и некоммерческой организацией "Фонд развития моногородов";</w:t>
      </w:r>
    </w:p>
    <w:p>
      <w:pPr>
        <w:pStyle w:val="P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color w:val="000000"/>
          <w:sz w:val="28"/>
        </w:rPr>
        <w:tab/>
        <w:t>- земельных участков, предоставленных для размещения аэровокзалов, на период их строительства, но не свыше пяти лет;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bookmarkStart w:id="0" w:name="P38"/>
      <w:bookmarkEnd w:id="0"/>
      <w:bookmarkStart w:id="1" w:name="P40"/>
      <w:bookmarkEnd w:id="1"/>
      <w:r>
        <w:rPr>
          <w:rFonts w:ascii="Times New Roman" w:hAnsi="Times New Roman"/>
          <w:sz w:val="28"/>
        </w:rPr>
        <w:t>- земельных участков, предоставленных для размещения гостиниц, кемпингов, туристических комплексов с объемом инвестиций более 500 млн. рублей, на период проведения проектно-изыскательских работ, но не более двух лет;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земельных участков, предоставленных для использования зданий, помещений, находящихся в собственности Республики Карелия и переданных в пользование единому органу управления организациями, образующими инфраструктуру поддержки субъектов малого и среднего предпринимательства в Республике Карелия;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б)</w:t>
        <w:tab/>
        <w:t>0,3 процента в отношении: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 земельных участков из земель сельскохозяйственного назначения, право на которые переоформлено в соответствии с земельным законодательством Российской Федерации, а также из земель сельскохозяйственного назначения, ограниченных в обороте, за исключением случаев, когда право на заключение договора аренды земельного участка приобретено на торгах (конкурсах, аукционах);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</w:t>
        <w:tab/>
        <w:t>земельных участков, предоставленных для размещения объектов по утилизации твердых коммунальных отходов методом их сортировки и переработки;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в)</w:t>
        <w:tab/>
        <w:t xml:space="preserve"> 0,5 процента- в отношении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 земельных участков, предназначенных для размещения объектов физической культуры и спорта;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</w:t>
        <w:tab/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0,7 процента в отношении: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земельных участков, предоставленных для размещения нефтепроводов, газопроводов и иных трубопроводов, их конструктивных элементов и сооружений, являющихся неотъемлемой технологической частью указанных объектов;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д) </w:t>
      </w:r>
      <w:r>
        <w:rPr>
          <w:rFonts w:ascii="Times New Roman" w:hAnsi="Times New Roman"/>
          <w:b w:val="1"/>
          <w:color w:val="000000"/>
          <w:sz w:val="28"/>
        </w:rPr>
        <w:t>1,4 процента в отношении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-земельных участков, предоставленных для размещения воздушных линий электропередачи, наземных сооружений кабельных линий электропередачи, подстанций, распределительных пунктов, других сооружений и объектов энергетики;</w:t>
      </w:r>
    </w:p>
    <w:p>
      <w:pPr>
        <w:spacing w:lineRule="auto" w:line="240" w:after="0" w:beforeAutospacing="0" w:afterAutospacing="0"/>
        <w:ind w:firstLine="709" w:right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е)</w:t>
        <w:tab/>
        <w:t>1,5 процента в отношении: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bookmarkStart w:id="2" w:name="P51"/>
      <w:bookmarkEnd w:id="2"/>
      <w:r>
        <w:rPr>
          <w:rFonts w:ascii="Times New Roman" w:hAnsi="Times New Roman"/>
          <w:sz w:val="28"/>
        </w:rPr>
        <w:t>- земельных участков, ограниченных в обороте и не относящихся к категории земель сельскохозяйственного назначения, право аренды на которые переоформлено в соответствии с земельным законодательством Российской Федерации;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-земельных участков, предоставленных в соответствии с договором о развитии застроенной территории;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-земельных участков, предоставленных для размещения инфраструктуры морских и речных портов, в том числе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-земельных участков, предоставленных для целей, не связанных со строительством, за исключением земельных участков, предоставленных для благоустройства территорий и малых архитектурных форм;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земельных участков, образованных из земельных участков, предоставленных для комплексного освоения территории в целях жилищного строительства в соответствии с Земельным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"https://login.consultant.ru/link/?req=doc&amp;base=LAW&amp;n=495301"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ж) 2 процента в отношении: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земельных участков, не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"P45"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абзаце втором подпункта "б"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"P51"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абзаце втором подпункта "е"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пункта, если право аренды на земельный участок переоформлено в соответствии с земельным законодательством Российской Федерации;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-земельных участков, предоставленных в аренду для строительства с предварительным согласованием места размещения объектов в порядке, установленном Земельным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"https://login.consultant.ru/link/?req=doc&amp;base=LAW&amp;n=495301&amp;dst=100279"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земельных участков, предоставленных в аренду пользователю недр для ведения работ, связанных с пользованием недрами;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з) 3,5 процента в отношении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земельных участков, предоставленных для размещения объектов, непосредственно используемых для захоронения твердых бытовых отходов, в том числе для размещения полигонов;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и) 2,3 процента в отношении земельных участков</w:t>
      </w:r>
      <w:r>
        <w:rPr>
          <w:rFonts w:ascii="Times New Roman" w:hAnsi="Times New Roman"/>
          <w:sz w:val="28"/>
        </w:rPr>
        <w:t xml:space="preserve">, предоставленных для размещения производственных зданий, сооружений и обслуживающих их объектов, за исключением случаев,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"P26"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абзаце четвертом подпункта "а"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пункта: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к) </w:t>
      </w:r>
      <w:r>
        <w:rPr>
          <w:rFonts w:ascii="Times New Roman" w:hAnsi="Times New Roman"/>
          <w:b w:val="1"/>
          <w:sz w:val="28"/>
        </w:rPr>
        <w:t>2,7 процента</w:t>
      </w:r>
      <w:r>
        <w:rPr>
          <w:rFonts w:ascii="Times New Roman" w:hAnsi="Times New Roman"/>
          <w:sz w:val="28"/>
        </w:rPr>
        <w:t xml:space="preserve"> в отношении земельных участков, предоставленных для размещения и (или) обслуживания автотранспорта (автостоянок, автосервиса, автомоек):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л) </w:t>
      </w:r>
      <w:r>
        <w:rPr>
          <w:rFonts w:ascii="Times New Roman" w:hAnsi="Times New Roman"/>
          <w:b w:val="1"/>
          <w:sz w:val="28"/>
        </w:rPr>
        <w:t>5 процентов в отношении</w:t>
      </w:r>
      <w:r>
        <w:rPr>
          <w:rFonts w:ascii="Times New Roman" w:hAnsi="Times New Roman"/>
          <w:sz w:val="28"/>
        </w:rPr>
        <w:t xml:space="preserve"> земельных участков, предоставленных для размещения административных зданий, сооружений и обслуживающих их объектов, за исключением случаев,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"P26"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абзаце четвертом подпункта "а"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пункта;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м) </w:t>
      </w:r>
      <w:r>
        <w:rPr>
          <w:rFonts w:ascii="Times New Roman" w:hAnsi="Times New Roman"/>
          <w:b w:val="1"/>
          <w:sz w:val="28"/>
        </w:rPr>
        <w:t>13 процентов в отношении</w:t>
      </w:r>
      <w:r>
        <w:rPr>
          <w:rFonts w:ascii="Times New Roman" w:hAnsi="Times New Roman"/>
          <w:sz w:val="28"/>
        </w:rPr>
        <w:t xml:space="preserve"> земельных участков, предоставленных для размещения объектов общественного питания и бытового обслуживания: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н) </w:t>
      </w:r>
      <w:r>
        <w:rPr>
          <w:rFonts w:ascii="Times New Roman" w:hAnsi="Times New Roman"/>
          <w:b w:val="1"/>
          <w:sz w:val="28"/>
        </w:rPr>
        <w:t>13 процентов в отношении</w:t>
      </w:r>
      <w:r>
        <w:rPr>
          <w:rFonts w:ascii="Times New Roman" w:hAnsi="Times New Roman"/>
          <w:sz w:val="28"/>
        </w:rPr>
        <w:t xml:space="preserve"> земельных участков, предоставленных для размещения объектов торговли: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о) 13 процентов;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о)13 процентов в отношении</w:t>
      </w:r>
      <w:r>
        <w:rPr>
          <w:rFonts w:ascii="Times New Roman" w:hAnsi="Times New Roman"/>
          <w:sz w:val="28"/>
        </w:rPr>
        <w:t xml:space="preserve"> земельных участков, предоставленных для размещения автозаправочных станций: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п) </w:t>
      </w:r>
      <w:r>
        <w:rPr>
          <w:rFonts w:ascii="Times New Roman" w:hAnsi="Times New Roman"/>
          <w:b w:val="1"/>
          <w:sz w:val="28"/>
        </w:rPr>
        <w:t>7,3 процента в отношении</w:t>
      </w:r>
      <w:r>
        <w:rPr>
          <w:rFonts w:ascii="Times New Roman" w:hAnsi="Times New Roman"/>
          <w:sz w:val="28"/>
        </w:rPr>
        <w:t xml:space="preserve"> земельных участков, предоставленных для размещения гостиниц, кемпингов, туристических комплексов, за исключением случая,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"P40"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абзаце одиннадцатом подпункта "а"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пункта: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Арендная плата за земельные участки определяется как выраженный в рублях процент кадастровой стоимости земельного участка, а в случае отсутствия кадастровой стоимости - как выраженный в рублях процент рыночной стоимости земельного участка, размер которого равен двукратной ставке земельного налога в отношении следующих земельных участков: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земельных участков, предоставленных для размещения инфраструктуры железнодорожного транспорта общего и необщего пользования;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земельных участков, предоставленных для размещения аэропортов, аэродромов, аэровокзалов, взлетно-посадочных полос, а также объектов, необходимых для эксплуатации, содержания, строительства, реконструкции, ремонта наземных и подземных зданий, строений, сооружений, устройств и других объектов инфраструктуры воздушного транспорта (за исключением случая,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"P38"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абзаце десятом подпункта "а" пункта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Порядка);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земельных участков, предоставленных для размещения сетей связи и объектов инфраструктуры, обеспечивающих эфирную наземную трансляцию общероссийских обязательных общедоступных телеканалов и радиоканалов;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земельных участков, предоставленных для размещения объектов космической инфраструктуры;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земельных участков, предоставленных для размещения объектов образования, науки, здравоохранения и социального обеспечения, культуры, искусства и религии, за исключением объектов здравоохранения,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"P117"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пункте 2.1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земельных участков, предоставленных для сельскохозяйственного использования, ведения крестьянского (фермерского) хозяйства, личного подсобного хозяйства, а также предоставленных гражданам или их некоммерческим объединениям для гаражного строительства, ведения садоводства, огородничества и дачного хозяйства, за исключением случаев,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"P45"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абзаце втором подпункта "б" пункта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Порядка;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земельных участков, предоставленных для индивидуального жилищного строительства.</w:t>
      </w:r>
    </w:p>
    <w:p>
      <w:pPr>
        <w:pStyle w:val="P3"/>
        <w:spacing w:before="220" w:beforeAutospacing="0" w:afterAutospacing="0"/>
        <w:ind w:firstLine="540"/>
        <w:jc w:val="both"/>
        <w:rPr>
          <w:rFonts w:ascii="Times New Roman" w:hAnsi="Times New Roman"/>
          <w:sz w:val="28"/>
        </w:rPr>
      </w:pPr>
      <w:bookmarkStart w:id="3" w:name="P117"/>
      <w:bookmarkEnd w:id="3"/>
      <w:r>
        <w:rPr>
          <w:rFonts w:ascii="Times New Roman" w:hAnsi="Times New Roman"/>
          <w:sz w:val="28"/>
        </w:rPr>
        <w:t>5.1 Арендная плата за земельные участки, предоставленные для размещения объектов здравоохранения, строительство которых осуществляется во исполнение распоряжения Президента Российской Федерации от 4 марта 2014 года N 46-рп, определяется как выраженный в рублях процент кадастровой стоимости земельного участка, размер которого равен 0,01 процента ставки земельного налога.</w:t>
      </w: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auto"/>
          <w:right w:val="none" w:sz="0" w:space="0" w:shadow="0" w:frame="0" w:color="auto"/>
        </w:pBdr>
        <w:spacing w:before="100" w:after="10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6. Размер арендной платы по видам использования не указанным в настоящем Порядке, определяется в соответствии с земельным законодательством.</w:t>
      </w: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auto"/>
          <w:right w:val="none" w:sz="0" w:space="0" w:shadow="0" w:frame="0" w:color="auto"/>
        </w:pBdr>
        <w:spacing w:before="100" w:after="10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7. Размер арендной платы не зависит от результатов хозяйственной деятельности арендатора и устанавливается в соответствии с разрешенным использованием земельного участка.</w:t>
      </w: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auto"/>
          <w:right w:val="none" w:sz="0" w:space="0" w:shadow="0" w:frame="0" w:color="auto"/>
        </w:pBdr>
        <w:spacing w:before="100" w:after="10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8. В случае краткосрочной аренды может устанавливаться разовый платеж.</w:t>
      </w: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auto"/>
          <w:right w:val="none" w:sz="0" w:space="0" w:shadow="0" w:frame="0" w:color="auto"/>
        </w:pBdr>
        <w:spacing w:before="100" w:after="10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9. Размер арендной платы в сторону увеличения изменяется Арендодателем, но не чаще одного раза в год, если иное не предусмотрено договором.</w:t>
      </w: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auto"/>
          <w:right w:val="none" w:sz="0" w:space="0" w:shadow="0" w:frame="0" w:color="auto"/>
        </w:pBdr>
        <w:spacing w:before="100" w:after="10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10. Условия и сроки внесения арендной платы за землю устанавливается договором:</w:t>
      </w: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auto"/>
          <w:right w:val="none" w:sz="0" w:space="0" w:shadow="0" w:frame="0" w:color="auto"/>
        </w:pBdr>
        <w:spacing w:before="100" w:after="10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за период, предшествующий заключению договора, если условия заключаемого договора распространяются на отношения, возникшие до его заключения, единовременно на момент подписания договора;</w:t>
      </w: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auto"/>
          <w:right w:val="none" w:sz="0" w:space="0" w:shadow="0" w:frame="0" w:color="auto"/>
        </w:pBdr>
        <w:spacing w:before="100" w:after="10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за последующий период – равными долями или единовременно, по соглашению сторон по одному из следующих вариантов:</w:t>
      </w: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auto"/>
          <w:right w:val="none" w:sz="0" w:space="0" w:shadow="0" w:frame="0" w:color="auto"/>
        </w:pBdr>
        <w:spacing w:before="100" w:after="10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ежеквартально до 15 числа первого месяца текущего квартала;</w:t>
      </w: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auto"/>
          <w:right w:val="none" w:sz="0" w:space="0" w:shadow="0" w:frame="0" w:color="auto"/>
        </w:pBdr>
        <w:spacing w:before="100" w:after="10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единовременно до 15 апреля текущего года.</w:t>
      </w: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auto"/>
          <w:right w:val="none" w:sz="0" w:space="0" w:shadow="0" w:frame="0" w:color="auto"/>
        </w:pBdr>
        <w:spacing w:before="100" w:after="10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11. При передаче арендаторами земельных участков в субаренду, к годовому размеру арендной платы применяется повышающий коэффициент размером1,5. Коэффициент устанавливается с момента передачи участка в субаренду на срок субаренды.</w:t>
      </w: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auto"/>
          <w:right w:val="none" w:sz="0" w:space="0" w:shadow="0" w:frame="0" w:color="auto"/>
        </w:pBdr>
        <w:spacing w:before="100" w:after="10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При передаче арендаторами прав и обязанностей по договорам аренды на земельные участки. Свободные от строения или занятые временными зданиями и строениями</w:t>
      </w:r>
      <w:bookmarkStart w:id="4" w:name="_GoBack"/>
      <w:bookmarkEnd w:id="4"/>
      <w:r>
        <w:rPr>
          <w:rFonts w:ascii="Times New Roman" w:hAnsi="Times New Roman"/>
          <w:sz w:val="28"/>
        </w:rPr>
        <w:t>, третьим лицам, к годовому размеру арендной платы применятся повышающий коэффициент размером 1.3 к новому арендатору.</w:t>
      </w: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auto"/>
          <w:right w:val="none" w:sz="0" w:space="0" w:shadow="0" w:frame="0" w:color="auto"/>
        </w:pBdr>
        <w:spacing w:before="100" w:after="10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auto"/>
          <w:right w:val="none" w:sz="0" w:space="0" w:shadow="0" w:frame="0" w:color="auto"/>
        </w:pBdr>
        <w:spacing w:before="100" w:after="10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auto"/>
          <w:right w:val="none" w:sz="0" w:space="0" w:shadow="0" w:frame="0" w:color="auto"/>
        </w:pBdr>
        <w:spacing w:before="100" w:after="100" w:beforeAutospacing="0" w:afterAutospacing="0"/>
        <w:jc w:val="both"/>
        <w:rPr>
          <w:rFonts w:ascii="Times New Roman" w:hAnsi="Times New Roman"/>
          <w:sz w:val="28"/>
        </w:rPr>
      </w:pPr>
    </w:p>
    <w:sectPr>
      <w:type w:val="nextPage"/>
      <w:pgSz w:w="11906" w:h="16838" w:code="9"/>
      <w:pgMar w:left="1701" w:right="849" w:top="567" w:bottom="1276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1E22E69"/>
    <w:multiLevelType w:val="hybridMultilevel"/>
    <w:lvl w:ilvl="0" w:tplc="C8E8081C">
      <w:start w:val="2"/>
      <w:numFmt w:val="decimal"/>
      <w:suff w:val="tab"/>
      <w:lvlText w:val="%1."/>
      <w:lvlJc w:val="left"/>
      <w:pPr>
        <w:ind w:hanging="360" w:left="1425"/>
      </w:pPr>
      <w:rPr>
        <w:color w:val="000000"/>
        <w:sz w:val="28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145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865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585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305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5025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745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465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185"/>
      </w:pPr>
      <w:rPr/>
    </w:lvl>
  </w:abstractNum>
  <w:abstractNum w:abstractNumId="1">
    <w:nsid w:val="6124701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docdata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2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3">
    <w:name w:val="ConsPlusNormal"/>
    <w:pPr>
      <w:widowControl w:val="0"/>
      <w:spacing w:lineRule="auto" w:line="240" w:after="0" w:beforeAutospacing="0" w:afterAutospacing="0"/>
    </w:pPr>
    <w:rPr>
      <w:rFonts w:ascii="Calibri" w:hAnsi="Calibri"/>
    </w:rPr>
  </w:style>
  <w:style w:type="paragraph" w:styleId="P4">
    <w:name w:val="List Paragraph"/>
    <w:basedOn w:val="P0"/>
    <w:qFormat/>
    <w:pPr>
      <w:ind w:left="720"/>
      <w:contextualSpacing w:val="1"/>
    </w:pPr>
    <w:rPr/>
  </w:style>
  <w:style w:type="paragraph" w:styleId="P5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6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Текст выноски Знак"/>
    <w:basedOn w:val="C0"/>
    <w:link w:val="P5"/>
    <w:semiHidden/>
    <w:rPr>
      <w:rFonts w:ascii="Tahoma" w:hAnsi="Tahoma"/>
      <w:sz w:val="16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