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Взаимодействие с застройщиками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Одним из приоритетных направлений развития Росреестра является оказание государственных услуг Росреестра в электронном виде. 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 1 марта 2025 года вступил в силу Федеральный закон от 26.12.2024 № 487-ФЗ, одним из нововведений которого является переход на взаимодействие юридических лиц с Росреестром в электронной форме. 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Н</w:t>
      </w:r>
      <w:r>
        <w:rPr>
          <w:rFonts w:ascii="Segoe UI" w:hAnsi="Segoe UI"/>
          <w:sz w:val="24"/>
          <w:szCs w:val="24"/>
          <w14:ligatures w14:val="none"/>
        </w:rPr>
        <w:t xml:space="preserve">овые правила устанавливают, что застройщики должны подавать заявления на государственную регистрацию прав дольщиков, а также прилагаемые к ним документы только в электронной форме. При этом закон установил обязанность застройщиков направлять в орган регист</w:t>
      </w:r>
      <w:r>
        <w:rPr>
          <w:rFonts w:ascii="Segoe UI" w:hAnsi="Segoe UI"/>
          <w:sz w:val="24"/>
          <w:szCs w:val="24"/>
          <w14:ligatures w14:val="none"/>
        </w:rPr>
        <w:t xml:space="preserve">рации прав заявление и документы для государственной регистрации права участника долевого строительства. 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Д</w:t>
      </w:r>
      <w:r>
        <w:rPr>
          <w:rFonts w:ascii="Segoe UI" w:hAnsi="Segoe UI"/>
          <w:sz w:val="24"/>
          <w:szCs w:val="24"/>
          <w14:ligatures w14:val="none"/>
        </w:rPr>
        <w:t xml:space="preserve">оговоры участия в долевом строительстве также должны представляться в орган регистрации прав только в электронном виде (в форме электронных документов). Следует отметить, что подписанный собственноручными подписями скан-образ бумажного договора не является</w:t>
      </w:r>
      <w:r>
        <w:rPr>
          <w:rFonts w:ascii="Segoe UI" w:hAnsi="Segoe UI"/>
          <w:sz w:val="24"/>
          <w:szCs w:val="24"/>
          <w14:ligatures w14:val="none"/>
        </w:rPr>
        <w:t xml:space="preserve"> электронным документом. 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</w:t>
      </w:r>
      <w:r>
        <w:rPr>
          <w:rFonts w:ascii="Segoe UI" w:hAnsi="Segoe UI"/>
          <w:sz w:val="24"/>
          <w:szCs w:val="24"/>
          <w14:ligatures w14:val="none"/>
        </w:rPr>
        <w:t xml:space="preserve">осле передачи объекта участнику долевого строительства и осуществления государственного кадастрового учета такого объекта застройщик не позднее 30 рабочих дней со дня подписания документа о передаче объекта направляет (без оформления доверенности) в орган </w:t>
      </w:r>
      <w:r>
        <w:rPr>
          <w:rFonts w:ascii="Segoe UI" w:hAnsi="Segoe UI"/>
          <w:sz w:val="24"/>
          <w:szCs w:val="24"/>
          <w14:ligatures w14:val="none"/>
        </w:rPr>
        <w:t xml:space="preserve">регистрации прав заявление о государственной регистрации права собственности дольщика на такой объект.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</w:t>
      </w:r>
      <w:r>
        <w:rPr>
          <w:rFonts w:ascii="Segoe UI" w:hAnsi="Segoe UI"/>
          <w:sz w:val="24"/>
          <w:szCs w:val="24"/>
          <w14:ligatures w14:val="none"/>
        </w:rPr>
        <w:t xml:space="preserve"> таком случае застройщик без взимания платы с участника долевого строительства осуществляет перевод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</w:t>
      </w:r>
      <w:r>
        <w:rPr>
          <w:rFonts w:ascii="Segoe UI" w:hAnsi="Segoe UI"/>
          <w:sz w:val="24"/>
          <w:szCs w:val="24"/>
          <w14:ligatures w14:val="none"/>
        </w:rPr>
        <w:t xml:space="preserve">веряет его усиленной квалифицированной электронной подписью уполномоченного лица.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После государственной регистрации прав застройщик обязан передать собственнику выданную в целях удостоверения регистрации права собственности участника долевого строительства выписку из Единого государственного реестра недвижимости.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«</w:t>
      </w:r>
      <w:r>
        <w:rPr>
          <w:rFonts w:ascii="Segoe UI" w:hAnsi="Segoe UI"/>
          <w:sz w:val="24"/>
          <w:szCs w:val="24"/>
          <w14:ligatures w14:val="none"/>
        </w:rPr>
        <w:t xml:space="preserve">Переход на электронный формат подачи документов значительно ускоряет процесс регистрации прав, поскольку исключается необходимость в обработки бумажных документов, улучшает контроль за процессом, существенно экономит время и ресурсы, способствует повышению</w:t>
      </w:r>
      <w:r>
        <w:rPr>
          <w:rFonts w:ascii="Segoe UI" w:hAnsi="Segoe UI"/>
          <w:sz w:val="24"/>
          <w:szCs w:val="24"/>
          <w14:ligatures w14:val="none"/>
        </w:rPr>
        <w:t xml:space="preserve"> прозрачности и эффективности работы Росреестра» - отмечает заместитель руководителя Управления Росреестра по Республике Карелия Татьяна Николаевна Полякова.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50</cp:revision>
  <dcterms:created xsi:type="dcterms:W3CDTF">2023-06-13T09:29:00Z</dcterms:created>
  <dcterms:modified xsi:type="dcterms:W3CDTF">2025-03-17T07:16:13Z</dcterms:modified>
</cp:coreProperties>
</file>