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2"/>
        <w:tblW w:type="auto" w:w="0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  <w:tblCellMar>
          <w:left w:type="dxa" w:w="0"/>
          <w:right w:type="dxa" w:w="0"/>
        </w:tblCellMar>
      </w:tblPr>
      <w:tblGrid>
        <w:gridCol w:w="1565"/>
        <w:gridCol w:w="278"/>
        <w:gridCol w:w="2037"/>
        <w:gridCol w:w="1505"/>
        <w:gridCol w:w="4250"/>
      </w:tblGrid>
      <w:tr>
        <w:trPr>
          <w:trHeight w:hRule="exact" w:val="737"/>
        </w:trPr>
        <w:tc>
          <w:tcPr>
            <w:tcW w:type="dxa" w:w="5385"/>
            <w:gridSpan w:val="4"/>
            <w:vMerge w:val="restart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4250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3000000">
            <w:pPr>
              <w:widowControl w:val="1"/>
              <w:spacing w:before="240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3062"/>
        </w:trPr>
        <w:tc>
          <w:tcPr>
            <w:tcW w:type="dxa" w:w="5385"/>
            <w:gridSpan w:val="4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4250"/>
            <w:vMerge w:val="restart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4000000">
            <w:pPr>
              <w:widowControl w:val="1"/>
              <w:spacing w:line="240" w:lineRule="exact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Главам всех муниципальных образований Пряжинского национального муниципального района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.</w:t>
            </w:r>
          </w:p>
          <w:p w14:paraId="05000000">
            <w:pPr>
              <w:widowControl w:val="1"/>
              <w:spacing w:line="240" w:lineRule="exact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06000000">
            <w:pPr>
              <w:widowControl w:val="1"/>
              <w:spacing w:after="0" w:line="240" w:lineRule="exact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07000000">
            <w:pPr>
              <w:widowControl w:val="1"/>
              <w:spacing w:after="0" w:line="240" w:lineRule="exact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И.о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. главного редактора</w:t>
            </w:r>
          </w:p>
          <w:p w14:paraId="08000000">
            <w:pPr>
              <w:widowControl w:val="1"/>
              <w:spacing w:after="0" w:line="240" w:lineRule="exact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МБУ "Редакция газеты "Наша   Жизнь"</w:t>
            </w:r>
          </w:p>
          <w:p w14:paraId="09000000">
            <w:pPr>
              <w:widowControl w:val="1"/>
              <w:spacing w:after="0" w:line="240" w:lineRule="exact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</w:p>
          <w:p w14:paraId="0A000000">
            <w:pPr>
              <w:widowControl w:val="1"/>
              <w:spacing w:line="240" w:lineRule="exact"/>
              <w:ind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z w:val="28"/>
              </w:rPr>
              <w:t>Коломеец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А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.В</w:t>
            </w:r>
            <w:r>
              <w:rPr>
                <w:rFonts w:ascii="Times New Roman" w:hAnsi="Times New Roman"/>
                <w:color w:themeColor="text1" w:val="000000"/>
                <w:sz w:val="28"/>
              </w:rPr>
              <w:t>.</w:t>
            </w:r>
          </w:p>
        </w:tc>
      </w:tr>
      <w:tr>
        <w:tc>
          <w:tcPr>
            <w:tcW w:type="dxa" w:w="156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7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3542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4250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atLeast" w:val="60"/>
        </w:trPr>
        <w:tc>
          <w:tcPr>
            <w:tcW w:type="dxa" w:w="156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278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B000000">
            <w:pPr>
              <w:rPr>
                <w:rFonts w:ascii="Times New Roman" w:hAnsi="Times New Roman"/>
                <w:color w:themeColor="text1" w:val="000000"/>
                <w:sz w:val="6"/>
              </w:rPr>
            </w:pPr>
          </w:p>
        </w:tc>
        <w:tc>
          <w:tcPr>
            <w:tcW w:type="dxa" w:w="203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1505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0C000000">
            <w:pPr>
              <w:rPr>
                <w:rFonts w:ascii="Times New Roman" w:hAnsi="Times New Roman"/>
                <w:color w:themeColor="text1" w:val="000000"/>
                <w:sz w:val="6"/>
              </w:rPr>
            </w:pPr>
          </w:p>
        </w:tc>
        <w:tc>
          <w:tcPr>
            <w:tcW w:type="dxa" w:w="4250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/>
        </w:tc>
      </w:tr>
      <w:tr>
        <w:trPr>
          <w:trHeight w:hRule="atLeast" w:val="569"/>
        </w:trPr>
        <w:tc>
          <w:tcPr>
            <w:tcW w:type="dxa" w:w="5385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/>
        </w:tc>
        <w:tc>
          <w:tcPr>
            <w:tcW w:type="dxa" w:w="4250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/>
        </w:tc>
      </w:tr>
    </w:tbl>
    <w:p w14:paraId="0D000000">
      <w:pPr>
        <w:widowControl w:val="1"/>
        <w:spacing w:after="0" w:line="240" w:lineRule="exact"/>
        <w:ind w:right="4818"/>
        <w:rPr>
          <w:rFonts w:ascii="Times New Roman" w:hAnsi="Times New Roman"/>
          <w:sz w:val="28"/>
        </w:rPr>
      </w:pPr>
      <w:bookmarkStart w:id="1" w:name="_Hlk64303089"/>
    </w:p>
    <w:p w14:paraId="0E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Уважаемые коллеги</w:t>
      </w:r>
      <w:r>
        <w:rPr>
          <w:rFonts w:ascii="Times New Roman" w:hAnsi="Times New Roman"/>
          <w:sz w:val="28"/>
        </w:rPr>
        <w:t>!</w:t>
      </w:r>
    </w:p>
    <w:p w14:paraId="0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0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Прошу опубликовать на официальном сайте Вашего муниципального образования в сети «Интернет» информацию следующего содержания</w:t>
      </w:r>
      <w:r>
        <w:rPr>
          <w:rFonts w:ascii="Times New Roman" w:hAnsi="Times New Roman"/>
          <w:sz w:val="28"/>
        </w:rPr>
        <w:t>:</w:t>
      </w:r>
    </w:p>
    <w:p w14:paraId="1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2000000">
      <w:pPr>
        <w:widowControl w:val="1"/>
        <w:spacing w:after="0" w:line="240" w:lineRule="auto"/>
        <w:ind w:firstLine="709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color w:val="333333"/>
          <w:sz w:val="28"/>
        </w:rPr>
        <w:t xml:space="preserve">Введена ответственность за продажу несовершеннолетнему безалкогольного </w:t>
      </w:r>
      <w:r>
        <w:rPr>
          <w:rFonts w:ascii="Times New Roman" w:hAnsi="Times New Roman"/>
          <w:b w:val="1"/>
          <w:color w:val="333333"/>
          <w:sz w:val="28"/>
        </w:rPr>
        <w:t>тонизирующего напитка</w:t>
      </w:r>
    </w:p>
    <w:p w14:paraId="13000000">
      <w:pPr>
        <w:widowControl w:val="1"/>
        <w:spacing w:after="0" w:line="240" w:lineRule="auto"/>
        <w:ind w:firstLine="709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color w:val="333333"/>
          <w:sz w:val="28"/>
        </w:rPr>
        <w:t xml:space="preserve"> (в том числе энергетического)</w:t>
      </w:r>
    </w:p>
    <w:p w14:paraId="14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p w14:paraId="1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Федеральным законом от 07.06.2025 №149-ФЗ «О внесении изменений в Кодекс Российской Федерации об административных правонарушениях» введена статья 14.16.1 КоАП РФ. </w:t>
      </w:r>
      <w:r>
        <w:rPr>
          <w:rFonts w:ascii="Times New Roman" w:hAnsi="Times New Roman"/>
          <w:color w:val="333333"/>
          <w:sz w:val="28"/>
        </w:rPr>
        <w:t xml:space="preserve">В </w:t>
      </w:r>
      <w:r>
        <w:rPr>
          <w:rFonts w:ascii="Times New Roman" w:hAnsi="Times New Roman"/>
          <w:color w:val="333333"/>
          <w:sz w:val="28"/>
        </w:rPr>
        <w:t>соответствии</w:t>
      </w:r>
      <w:r>
        <w:rPr>
          <w:rFonts w:ascii="Times New Roman" w:hAnsi="Times New Roman"/>
          <w:color w:val="333333"/>
          <w:sz w:val="28"/>
        </w:rPr>
        <w:t xml:space="preserve"> с данной нормой введена ответственность за продажу несовершеннолетнему безалкогольного тонизирующего напитка (в том числе энергетического).</w:t>
      </w:r>
    </w:p>
    <w:p w14:paraId="1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Правонарушение повлечет наложение административного штрафа: </w:t>
      </w:r>
      <w:r>
        <w:rPr>
          <w:rFonts w:ascii="Times New Roman" w:hAnsi="Times New Roman"/>
          <w:color w:val="333333"/>
          <w:sz w:val="28"/>
        </w:rPr>
        <w:t xml:space="preserve">на граждан в </w:t>
      </w:r>
      <w:r>
        <w:rPr>
          <w:rFonts w:ascii="Times New Roman" w:hAnsi="Times New Roman"/>
          <w:color w:val="333333"/>
          <w:sz w:val="28"/>
        </w:rPr>
        <w:t>размере</w:t>
      </w:r>
      <w:r>
        <w:rPr>
          <w:rFonts w:ascii="Times New Roman" w:hAnsi="Times New Roman"/>
          <w:color w:val="333333"/>
          <w:sz w:val="28"/>
        </w:rPr>
        <w:t xml:space="preserve"> от 30 тысяч до 50 тысяч рублей;</w:t>
      </w:r>
      <w:r>
        <w:rPr>
          <w:rFonts w:ascii="Times New Roman" w:hAnsi="Times New Roman"/>
          <w:color w:val="333333"/>
          <w:sz w:val="28"/>
        </w:rPr>
        <w:t xml:space="preserve"> на должностных лиц - от 100 тысяч до 200 тысяч рублей; </w:t>
      </w:r>
      <w:r>
        <w:rPr>
          <w:rFonts w:ascii="Times New Roman" w:hAnsi="Times New Roman"/>
          <w:color w:val="333333"/>
          <w:sz w:val="28"/>
        </w:rPr>
        <w:t>на юридических лиц - от 300 тысяч до 500 тысяч рублей.</w:t>
      </w:r>
    </w:p>
    <w:p w14:paraId="1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Предусмотрено, что дела об указанных правонарушениях рассматривают органы исполнительной власти субъектов Российской Федерации, осуществляющие региональный государственный контроль (надзор) в области продажи безалкогольных тонизирующих напитков (в том числе энергетических).</w:t>
      </w:r>
    </w:p>
    <w:p w14:paraId="18000000">
      <w:pPr>
        <w:widowControl w:val="1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резу</w:t>
      </w:r>
      <w:r>
        <w:rPr>
          <w:rFonts w:ascii="Times New Roman" w:hAnsi="Times New Roman"/>
          <w:sz w:val="28"/>
        </w:rPr>
        <w:t>льтатах размещения вышеуказанной публикации прошу уведомить прокуратуру района по электронной почте на адрес r.pra@10.mailop.ru.</w:t>
      </w:r>
    </w:p>
    <w:p w14:paraId="19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bookmarkStart w:id="2" w:name="_GoBack"/>
      <w:bookmarkEnd w:id="2"/>
    </w:p>
    <w:p w14:paraId="1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Style_2"/>
        <w:tblW w:type="auto" w:w="0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  <w:tblCellMar>
          <w:left w:type="dxa" w:w="0"/>
          <w:right w:type="dxa" w:w="0"/>
        </w:tblCellMar>
      </w:tblPr>
      <w:tblGrid>
        <w:gridCol w:w="5592"/>
        <w:gridCol w:w="4047"/>
      </w:tblGrid>
      <w:tr>
        <w:trPr>
          <w:trHeight w:hRule="atLeast" w:val="271"/>
        </w:trPr>
        <w:tc>
          <w:tcPr>
            <w:tcW w:type="dxa" w:w="559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bottom"/>
          </w:tcPr>
          <w:p w14:paraId="1B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  <w:bookmarkEnd w:id="1"/>
            <w:r>
              <w:rPr>
                <w:rFonts w:ascii="Times New Roman" w:hAnsi="Times New Roman"/>
                <w:sz w:val="28"/>
              </w:rPr>
              <w:t>Прокурор</w:t>
            </w:r>
            <w:r>
              <w:rPr>
                <w:rFonts w:ascii="Times New Roman" w:hAnsi="Times New Roman"/>
                <w:sz w:val="28"/>
              </w:rPr>
              <w:t xml:space="preserve"> района</w:t>
            </w:r>
          </w:p>
          <w:p w14:paraId="1C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</w:p>
          <w:p w14:paraId="1D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советник юстиции</w:t>
            </w:r>
            <w:r>
              <w:rPr>
                <w:rFonts w:ascii="Times New Roman" w:hAnsi="Times New Roman"/>
                <w:sz w:val="28"/>
              </w:rPr>
              <w:tab/>
            </w:r>
          </w:p>
        </w:tc>
        <w:tc>
          <w:tcPr>
            <w:tcW w:type="dxa" w:w="4047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  <w:vAlign w:val="bottom"/>
          </w:tcPr>
          <w:p w14:paraId="1E000000">
            <w:pPr>
              <w:widowControl w:val="1"/>
              <w:ind w:firstLine="70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К.С</w:t>
            </w:r>
            <w:r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z w:val="28"/>
              </w:rPr>
              <w:t xml:space="preserve"> Лебединский</w:t>
            </w:r>
          </w:p>
        </w:tc>
      </w:tr>
    </w:tbl>
    <w:tbl>
      <w:tblPr>
        <w:tblStyle w:val="Style_2"/>
        <w:tblpPr w:bottomFromText="0" w:horzAnchor="margin" w:leftFromText="113" w:rightFromText="113" w:tblpXSpec="left" w:tblpY="15310" w:topFromText="0" w:vertAnchor="page"/>
        <w:tblW w:type="auto" w:w="0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  <w:tblCellMar>
          <w:left w:type="dxa" w:w="0"/>
          <w:right w:type="dxa" w:w="0"/>
        </w:tblCellMar>
      </w:tblPr>
      <w:tblGrid>
        <w:gridCol w:w="3402"/>
      </w:tblGrid>
      <w:tr>
        <w:trPr>
          <w:trHeight w:hRule="atLeast" w:val="243"/>
        </w:trPr>
        <w:tc>
          <w:tcPr>
            <w:tcW w:type="dxa" w:w="3402"/>
            <w:tcBorders>
              <w:top w:sz="4" w:val="nil"/>
              <w:left w:sz="4" w:val="nil"/>
              <w:bottom w:sz="4" w:val="nil"/>
              <w:right w:sz="4" w:val="nil"/>
            </w:tcBorders>
            <w:tcMar>
              <w:left w:type="dxa" w:w="0"/>
              <w:right w:type="dxa" w:w="0"/>
            </w:tcMar>
          </w:tcPr>
          <w:p w14:paraId="1F000000">
            <w:pPr>
              <w:widowControl w:val="1"/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В.О. Нефедов, 3-11-04 доб. 0005</w:t>
            </w:r>
          </w:p>
        </w:tc>
      </w:tr>
    </w:tbl>
    <w:p w14:paraId="20000000">
      <w:pPr>
        <w:widowControl w:val="1"/>
        <w:spacing w:after="600" w:before="200"/>
        <w:ind w:left="3402"/>
        <w:rPr>
          <w:rFonts w:ascii="Times New Roman" w:hAnsi="Times New Roman"/>
          <w:color w:themeColor="background1" w:themeShade="D9" w:val="D9D9D9"/>
          <w:sz w:val="28"/>
        </w:rPr>
      </w:pPr>
      <w:bookmarkStart w:id="3" w:name="SIGNERSTAMP1"/>
      <w:bookmarkEnd w:id="3"/>
    </w:p>
    <w:sectPr>
      <w:headerReference r:id="rId1" w:type="default"/>
      <w:pgSz w:h="16838" w:orient="portrait" w:w="11906"/>
      <w:pgMar w:bottom="720" w:footer="851" w:gutter="0" w:header="680" w:left="1701" w:right="567" w:top="56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  <w:rPr>
        <w:rFonts w:ascii="Times New Roman" w:hAnsi="Times New Roman"/>
        <w:sz w:val="16"/>
      </w:rPr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widowControl w:val="1"/>
      <w:ind w:left="200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1"/>
      <w:ind w:left="600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widowControl w:val="1"/>
      <w:ind w:left="1000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widowControl w:val="1"/>
      <w:ind w:left="1200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Обычный1"/>
    <w:link w:val="Style_8_ch"/>
  </w:style>
  <w:style w:styleId="Style_8_ch" w:type="character">
    <w:name w:val="Обычный1"/>
    <w:link w:val="Style_8"/>
  </w:style>
  <w:style w:styleId="Style_9" w:type="paragraph">
    <w:name w:val="Endnote"/>
    <w:link w:val="Style_9_ch"/>
    <w:pPr>
      <w:widowControl w:val="1"/>
      <w:ind w:firstLine="851"/>
      <w:jc w:val="both"/>
    </w:pPr>
    <w:rPr>
      <w:rFonts w:ascii="XO Thames" w:hAnsi="XO Thames"/>
    </w:rPr>
  </w:style>
  <w:style w:styleId="Style_9_ch" w:type="character">
    <w:name w:val="Endnote"/>
    <w:link w:val="Style_9"/>
    <w:rPr>
      <w:rFonts w:ascii="XO Thames" w:hAnsi="XO Thames"/>
    </w:rPr>
  </w:style>
  <w:style w:styleId="Style_10" w:type="paragraph">
    <w:name w:val="heading 3"/>
    <w:next w:val="Style_3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footer"/>
    <w:basedOn w:val="Style_3"/>
    <w:link w:val="Style_1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1_ch" w:type="character">
    <w:name w:val="footer"/>
    <w:basedOn w:val="Style_3_ch"/>
    <w:link w:val="Style_11"/>
  </w:style>
  <w:style w:styleId="Style_12" w:type="paragraph">
    <w:name w:val="Balloon Text"/>
    <w:basedOn w:val="Style_3"/>
    <w:link w:val="Style_12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12_ch" w:type="character">
    <w:name w:val="Balloon Text"/>
    <w:basedOn w:val="Style_3_ch"/>
    <w:link w:val="Style_12"/>
    <w:rPr>
      <w:rFonts w:ascii="Tahoma" w:hAnsi="Tahoma"/>
      <w:sz w:val="16"/>
    </w:rPr>
  </w:style>
  <w:style w:styleId="Style_13" w:type="paragraph">
    <w:name w:val="toc 3"/>
    <w:next w:val="Style_3"/>
    <w:link w:val="Style_13_ch"/>
    <w:uiPriority w:val="39"/>
    <w:pPr>
      <w:widowControl w:val="1"/>
      <w:ind w:left="400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3"/>
    <w:link w:val="Style_14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4_ch" w:type="character">
    <w:name w:val="heading 5"/>
    <w:link w:val="Style_14"/>
    <w:rPr>
      <w:rFonts w:ascii="XO Thames" w:hAnsi="XO Thames"/>
      <w:b w:val="1"/>
    </w:rPr>
  </w:style>
  <w:style w:styleId="Style_15" w:type="paragraph">
    <w:name w:val="heading 1"/>
    <w:next w:val="Style_3"/>
    <w:link w:val="Style_15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widowControl w:val="1"/>
      <w:ind w:firstLine="851"/>
      <w:jc w:val="both"/>
    </w:pPr>
    <w:rPr>
      <w:rFonts w:ascii="XO Thames" w:hAnsi="XO Thames"/>
    </w:rPr>
  </w:style>
  <w:style w:styleId="Style_18_ch" w:type="character">
    <w:name w:val="Footnote"/>
    <w:link w:val="Style_18"/>
    <w:rPr>
      <w:rFonts w:ascii="XO Thames" w:hAnsi="XO Thames"/>
    </w:rPr>
  </w:style>
  <w:style w:styleId="Style_19" w:type="paragraph">
    <w:name w:val="toc 1"/>
    <w:next w:val="Style_3"/>
    <w:link w:val="Style_19_ch"/>
    <w:uiPriority w:val="39"/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Основной шрифт абзаца1"/>
    <w:link w:val="Style_20_ch"/>
  </w:style>
  <w:style w:styleId="Style_20_ch" w:type="character">
    <w:name w:val="Основной шрифт абзаца1"/>
    <w:link w:val="Style_20"/>
  </w:style>
  <w:style w:styleId="Style_21" w:type="paragraph">
    <w:name w:val="Header and Footer"/>
    <w:link w:val="Style_2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3"/>
    <w:link w:val="Style_22_ch"/>
    <w:uiPriority w:val="39"/>
    <w:pPr>
      <w:widowControl w:val="1"/>
      <w:ind w:left="1600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3"/>
    <w:link w:val="Style_23_ch"/>
    <w:uiPriority w:val="39"/>
    <w:pPr>
      <w:widowControl w:val="1"/>
      <w:ind w:left="1400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24" w:type="paragraph">
    <w:name w:val="toc 5"/>
    <w:next w:val="Style_3"/>
    <w:link w:val="Style_24_ch"/>
    <w:uiPriority w:val="39"/>
    <w:pPr>
      <w:widowControl w:val="1"/>
      <w:ind w:left="800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Гиперссылка1"/>
    <w:link w:val="Style_25_ch"/>
    <w:rPr>
      <w:color w:val="0000FF"/>
      <w:u w:val="single"/>
    </w:rPr>
  </w:style>
  <w:style w:styleId="Style_25_ch" w:type="character">
    <w:name w:val="Гиперссылка1"/>
    <w:link w:val="Style_25"/>
    <w:rPr>
      <w:color w:val="0000FF"/>
      <w:u w:val="single"/>
    </w:rPr>
  </w:style>
  <w:style w:styleId="Style_26" w:type="paragraph">
    <w:name w:val="Subtitle"/>
    <w:next w:val="Style_3"/>
    <w:link w:val="Style_26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3"/>
    <w:link w:val="Style_27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3"/>
    <w:link w:val="Style_28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3"/>
    <w:link w:val="Style_29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styleId="Style_30" w:type="table">
    <w:name w:val="Сетка таблицы светлая2"/>
    <w:basedOn w:val="Style_31"/>
    <w:pPr>
      <w:widowControl w:val="1"/>
      <w:spacing w:after="0" w:line="240" w:lineRule="auto"/>
      <w:ind/>
    </w:pPr>
    <w:tblPr>
      <w:tblBorders>
        <w:top w:sz="4" w:themeColor="background1" w:themeShade="BF" w:val="single"/>
        <w:left w:sz="4" w:themeColor="background1" w:themeShade="BF" w:val="single"/>
        <w:bottom w:sz="4" w:themeColor="background1" w:themeShade="BF" w:val="single"/>
        <w:right w:sz="4" w:themeColor="background1" w:themeShade="BF" w:val="single"/>
        <w:insideH w:sz="4" w:themeColor="background1" w:themeShade="BF" w:val="single"/>
        <w:insideV w:sz="4" w:themeColor="background1" w:themeShade="BF" w:val="single"/>
      </w:tblBorders>
    </w:tblPr>
  </w:style>
  <w:style w:styleId="Style_2" w:type="table">
    <w:name w:val="Table Grid"/>
    <w:basedOn w:val="Style_31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2" w:type="table">
    <w:name w:val="Сетка таблицы светлая1"/>
    <w:basedOn w:val="Style_31"/>
    <w:pPr>
      <w:widowControl w:val="1"/>
      <w:spacing w:after="0" w:line="240" w:lineRule="auto"/>
      <w:ind/>
    </w:pPr>
    <w:tblPr>
      <w:tblBorders>
        <w:top w:color="BFBFBF" w:sz="4" w:val="single"/>
        <w:left w:color="BFBFBF" w:sz="4" w:val="single"/>
        <w:bottom w:color="BFBFBF" w:sz="4" w:val="single"/>
        <w:right w:color="BFBFBF" w:sz="4" w:val="single"/>
        <w:insideH w:color="BFBFBF" w:sz="4" w:val="single"/>
        <w:insideV w:color="BFBFBF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2025-12-11T10:56:12Z</dcterms:created>
  <dcterms:modified xsi:type="dcterms:W3CDTF">2026-01-28T12:45:22Z</dcterms:modified>
</cp:coreProperties>
</file>